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06" w:rsidRPr="00610306" w:rsidRDefault="00610306" w:rsidP="00610306">
      <w:pPr>
        <w:pStyle w:val="yiv5268009374msonormal"/>
        <w:spacing w:before="0" w:beforeAutospacing="0" w:after="240" w:afterAutospacing="0" w:line="196" w:lineRule="atLeast"/>
        <w:ind w:firstLine="708"/>
        <w:jc w:val="both"/>
        <w:rPr>
          <w:rFonts w:ascii="Calibri" w:hAnsi="Calibri" w:cs="Calibri"/>
          <w:color w:val="1D2228"/>
          <w:sz w:val="20"/>
          <w:szCs w:val="20"/>
        </w:rPr>
      </w:pP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Sayın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Üyelerimiz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,</w:t>
      </w:r>
    </w:p>
    <w:p w:rsidR="00610306" w:rsidRPr="00610306" w:rsidRDefault="00610306" w:rsidP="00610306">
      <w:pPr>
        <w:pStyle w:val="yiv5268009374msonormal"/>
        <w:spacing w:before="0" w:beforeAutospacing="0" w:after="240" w:afterAutospacing="0" w:line="196" w:lineRule="atLeast"/>
        <w:ind w:firstLine="708"/>
        <w:jc w:val="both"/>
        <w:rPr>
          <w:rFonts w:ascii="Arial" w:hAnsi="Arial" w:cs="Arial"/>
          <w:color w:val="1D2228"/>
          <w:spacing w:val="14"/>
          <w:sz w:val="20"/>
          <w:szCs w:val="20"/>
        </w:rPr>
      </w:pPr>
      <w:proofErr w:type="gram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COVID-19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ve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Nöroloji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Kapsamında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yapılabilecek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bazı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çalışmalardaki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etik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izin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süreçlerine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ilişkin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TND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avukatı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Metin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  <w:shd w:val="clear" w:color="auto" w:fill="FFFFFF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  <w:shd w:val="clear" w:color="auto" w:fill="FFFFFF"/>
        </w:rPr>
        <w:t>Kayaçağlayan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  <w:shd w:val="clear" w:color="auto" w:fill="FFFFFF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  <w:shd w:val="clear" w:color="auto" w:fill="FFFFFF"/>
        </w:rPr>
        <w:t>ve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  <w:shd w:val="clear" w:color="auto" w:fill="FFFFFF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  <w:shd w:val="clear" w:color="auto" w:fill="FFFFFF"/>
        </w:rPr>
        <w:t>Yönetim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  <w:shd w:val="clear" w:color="auto" w:fill="FFFFFF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  <w:shd w:val="clear" w:color="auto" w:fill="FFFFFF"/>
        </w:rPr>
        <w:t>kurulunun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  <w:shd w:val="clear" w:color="auto" w:fill="FFFFFF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  <w:shd w:val="clear" w:color="auto" w:fill="FFFFFF"/>
        </w:rPr>
        <w:t>tavsiye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  <w:shd w:val="clear" w:color="auto" w:fill="FFFFFF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  <w:shd w:val="clear" w:color="auto" w:fill="FFFFFF"/>
        </w:rPr>
        <w:t>ve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  <w:shd w:val="clear" w:color="auto" w:fill="FFFFFF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  <w:shd w:val="clear" w:color="auto" w:fill="FFFFFF"/>
        </w:rPr>
        <w:t>değerlendirmesi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  <w:shd w:val="clear" w:color="auto" w:fill="FFFFFF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  <w:shd w:val="clear" w:color="auto" w:fill="FFFFFF"/>
        </w:rPr>
        <w:t>kısaca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  <w:shd w:val="clear" w:color="auto" w:fill="FFFFFF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  <w:shd w:val="clear" w:color="auto" w:fill="FFFFFF"/>
        </w:rPr>
        <w:t>özetlenmişitir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  <w:shd w:val="clear" w:color="auto" w:fill="FFFFFF"/>
        </w:rPr>
        <w:t>.</w:t>
      </w:r>
      <w:proofErr w:type="gramEnd"/>
      <w:r w:rsidRPr="00610306">
        <w:rPr>
          <w:rFonts w:ascii="Arial" w:hAnsi="Arial" w:cs="Arial"/>
          <w:color w:val="1D2228"/>
          <w:spacing w:val="14"/>
          <w:sz w:val="20"/>
          <w:szCs w:val="20"/>
          <w:shd w:val="clear" w:color="auto" w:fill="FFFFFF"/>
        </w:rPr>
        <w:t xml:space="preserve"> Buna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  <w:shd w:val="clear" w:color="auto" w:fill="FFFFFF"/>
        </w:rPr>
        <w:t>göre</w:t>
      </w:r>
      <w:proofErr w:type="spellEnd"/>
    </w:p>
    <w:p w:rsidR="00610306" w:rsidRPr="00610306" w:rsidRDefault="00610306" w:rsidP="00610306">
      <w:pPr>
        <w:pStyle w:val="yiv5268009374msonormal"/>
        <w:spacing w:before="0" w:beforeAutospacing="0" w:after="240" w:afterAutospacing="0" w:line="196" w:lineRule="atLeast"/>
        <w:ind w:firstLine="708"/>
        <w:jc w:val="both"/>
        <w:rPr>
          <w:rFonts w:ascii="Calibri" w:hAnsi="Calibri" w:cs="Calibri"/>
          <w:color w:val="1D2228"/>
          <w:sz w:val="20"/>
          <w:szCs w:val="20"/>
        </w:rPr>
      </w:pP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Ülkemizde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yürütülecek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olan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katılımcısı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insan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olan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araştırmalar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öncesinde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5237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sayılı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Türk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Ceza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Kanunu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madde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90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maddesi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ile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3359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sayılı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Sağlık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Hizmetleri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Kanunu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Ek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10. </w:t>
      </w:r>
      <w:proofErr w:type="spellStart"/>
      <w:proofErr w:type="gram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maddesi</w:t>
      </w:r>
      <w:proofErr w:type="spellEnd"/>
      <w:proofErr w:type="gram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ve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Türkiye’nin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taraf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olduğu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uluslararası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anlaşmalar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gereğince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Etik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Kurul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Onay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Belgesi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alınması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gerekmekte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olup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,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konuyla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ilgili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direktifler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esas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olarak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Türkiye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İlaç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ve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Tıbbi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Cihaz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Kurumunca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hazırlanmaktadır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. Bu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çerçevede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alt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düzenlemelerde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,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yapılacak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olan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çalışmanın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niteliğine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göre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,</w:t>
      </w:r>
    </w:p>
    <w:p w:rsidR="00610306" w:rsidRPr="00610306" w:rsidRDefault="00610306" w:rsidP="00610306">
      <w:pPr>
        <w:pStyle w:val="NormalWeb"/>
        <w:spacing w:before="0" w:beforeAutospacing="0" w:after="240" w:afterAutospacing="0" w:line="196" w:lineRule="atLeast"/>
        <w:ind w:left="1428"/>
        <w:jc w:val="both"/>
        <w:rPr>
          <w:rFonts w:ascii="Calibri" w:hAnsi="Calibri" w:cs="Calibri"/>
          <w:color w:val="1D2228"/>
          <w:sz w:val="20"/>
          <w:szCs w:val="20"/>
        </w:rPr>
      </w:pPr>
      <w:r w:rsidRPr="00610306">
        <w:rPr>
          <w:rFonts w:ascii="Symbol" w:hAnsi="Symbol" w:cs="Calibri"/>
          <w:color w:val="1D2228"/>
          <w:spacing w:val="14"/>
          <w:sz w:val="20"/>
          <w:szCs w:val="20"/>
        </w:rPr>
        <w:t></w:t>
      </w:r>
      <w:r w:rsidRPr="00610306">
        <w:rPr>
          <w:rFonts w:ascii="New" w:hAnsi="New" w:cs="Calibri"/>
          <w:color w:val="1D2228"/>
          <w:spacing w:val="14"/>
          <w:sz w:val="20"/>
          <w:szCs w:val="20"/>
        </w:rPr>
        <w:t>    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Klinik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Araştırmalar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Etik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Kurulları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,</w:t>
      </w:r>
    </w:p>
    <w:p w:rsidR="00610306" w:rsidRPr="00610306" w:rsidRDefault="00610306" w:rsidP="00610306">
      <w:pPr>
        <w:pStyle w:val="NormalWeb"/>
        <w:spacing w:before="0" w:beforeAutospacing="0" w:after="240" w:afterAutospacing="0" w:line="196" w:lineRule="atLeast"/>
        <w:ind w:left="1428"/>
        <w:jc w:val="both"/>
        <w:rPr>
          <w:rFonts w:ascii="Calibri" w:hAnsi="Calibri" w:cs="Calibri"/>
          <w:color w:val="1D2228"/>
          <w:sz w:val="20"/>
          <w:szCs w:val="20"/>
        </w:rPr>
      </w:pPr>
      <w:r w:rsidRPr="00610306">
        <w:rPr>
          <w:rFonts w:ascii="Symbol" w:hAnsi="Symbol" w:cs="Calibri"/>
          <w:color w:val="1D2228"/>
          <w:spacing w:val="14"/>
          <w:sz w:val="20"/>
          <w:szCs w:val="20"/>
        </w:rPr>
        <w:t></w:t>
      </w:r>
      <w:r w:rsidRPr="00610306">
        <w:rPr>
          <w:rFonts w:ascii="New" w:hAnsi="New" w:cs="Calibri"/>
          <w:color w:val="1D2228"/>
          <w:spacing w:val="14"/>
          <w:sz w:val="20"/>
          <w:szCs w:val="20"/>
        </w:rPr>
        <w:t>    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Biyoyararlanım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/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Biyoeşdeğerlik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Çalışmaları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Etik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Kurulları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,</w:t>
      </w:r>
    </w:p>
    <w:p w:rsidR="00610306" w:rsidRPr="00610306" w:rsidRDefault="00610306" w:rsidP="00610306">
      <w:pPr>
        <w:pStyle w:val="yiv5268009374msonormal"/>
        <w:spacing w:before="0" w:beforeAutospacing="0" w:after="240" w:afterAutospacing="0" w:line="196" w:lineRule="atLeast"/>
        <w:ind w:firstLine="708"/>
        <w:jc w:val="both"/>
        <w:rPr>
          <w:rFonts w:ascii="Calibri" w:hAnsi="Calibri" w:cs="Calibri"/>
          <w:color w:val="1D2228"/>
          <w:sz w:val="20"/>
          <w:szCs w:val="20"/>
        </w:rPr>
      </w:pPr>
      <w:proofErr w:type="spellStart"/>
      <w:proofErr w:type="gram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Gibi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çeşitli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etik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kurullar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öngörülmüş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ve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Türkiye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İlaç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ve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Tıbbi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Cihaz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Kurumu’nca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onaylanmış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etik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kurulları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listesine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Kurumun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internet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sitesinde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yer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verilmiştir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.</w:t>
      </w:r>
      <w:proofErr w:type="gramEnd"/>
    </w:p>
    <w:p w:rsidR="00610306" w:rsidRPr="00610306" w:rsidRDefault="00610306" w:rsidP="00610306">
      <w:pPr>
        <w:pStyle w:val="yiv5268009374msonormal"/>
        <w:spacing w:before="0" w:beforeAutospacing="0" w:after="240" w:afterAutospacing="0" w:line="196" w:lineRule="atLeast"/>
        <w:ind w:firstLine="708"/>
        <w:jc w:val="both"/>
        <w:rPr>
          <w:rFonts w:ascii="Calibri" w:hAnsi="Calibri" w:cs="Calibri"/>
          <w:color w:val="1D2228"/>
          <w:sz w:val="20"/>
          <w:szCs w:val="20"/>
        </w:rPr>
      </w:pP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Dolayısıyla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,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bahsi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geçen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etik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kurulların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düzenlendiği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mevzuat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kapsamında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(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ilgili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Yönetmelikler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)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bir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çalışma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var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ise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anılan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etik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kurullardan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izin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gram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alma</w:t>
      </w:r>
      <w:proofErr w:type="gram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ve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TİTCK’nın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ilgili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Daire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Başkanlığına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başvuru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yapılması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gerekmektedir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.</w:t>
      </w:r>
    </w:p>
    <w:p w:rsidR="00610306" w:rsidRPr="00610306" w:rsidRDefault="00610306" w:rsidP="00610306">
      <w:pPr>
        <w:pStyle w:val="yiv5268009374msonormal"/>
        <w:spacing w:before="0" w:beforeAutospacing="0" w:after="240" w:afterAutospacing="0" w:line="196" w:lineRule="atLeast"/>
        <w:ind w:firstLine="708"/>
        <w:jc w:val="both"/>
        <w:rPr>
          <w:rFonts w:ascii="Calibri" w:hAnsi="Calibri" w:cs="Calibri"/>
          <w:color w:val="1D2228"/>
          <w:sz w:val="20"/>
          <w:szCs w:val="20"/>
        </w:rPr>
      </w:pPr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2. 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Öte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yandan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,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TİTCK’nın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8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Mayıs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2019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tarihli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TİTK-KAD-SSS/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Sıkça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Sorulan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Sorular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(SSS)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kılavuzunda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, “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İnsana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doğrudan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müdahale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gerektirmeden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yapılacak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çalışmaların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kapsamı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ve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bu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çalışmaların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yapılabilmesi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için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nereden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onay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alınacağına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”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ilişkin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olarak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;</w:t>
      </w:r>
    </w:p>
    <w:p w:rsidR="00610306" w:rsidRPr="00610306" w:rsidRDefault="00610306" w:rsidP="00610306">
      <w:pPr>
        <w:pStyle w:val="yiv5268009374msonormal"/>
        <w:spacing w:before="0" w:beforeAutospacing="0" w:after="240" w:afterAutospacing="0" w:line="196" w:lineRule="atLeast"/>
        <w:ind w:left="708"/>
        <w:jc w:val="both"/>
        <w:rPr>
          <w:rFonts w:ascii="Calibri" w:hAnsi="Calibri" w:cs="Calibri"/>
          <w:color w:val="1D2228"/>
          <w:sz w:val="20"/>
          <w:szCs w:val="20"/>
        </w:rPr>
      </w:pPr>
      <w:r w:rsidRPr="00610306">
        <w:rPr>
          <w:rFonts w:ascii="Arial" w:hAnsi="Arial" w:cs="Arial"/>
          <w:color w:val="1D2228"/>
          <w:spacing w:val="14"/>
          <w:sz w:val="20"/>
          <w:szCs w:val="20"/>
        </w:rPr>
        <w:t>“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Sağlık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Bakanlığı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ve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bağlı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kuruluşlarından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izin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alması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zorunlu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olan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araştırmalar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dışındaki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,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araştırmaya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dâhil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olan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>gönüllünün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hastalığı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için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>aldığı</w:t>
      </w:r>
      <w:proofErr w:type="spellEnd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>tedaviyi</w:t>
      </w:r>
      <w:proofErr w:type="spellEnd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>değiştirmemek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veya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>etkilememek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,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araştırmaya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dâhil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olan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gönüllüler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sağlıklı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bireyler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ise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>yeni</w:t>
      </w:r>
      <w:proofErr w:type="spellEnd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>bir</w:t>
      </w:r>
      <w:proofErr w:type="spellEnd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>tedavi</w:t>
      </w:r>
      <w:proofErr w:type="spellEnd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>vermemek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veya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>uygulama</w:t>
      </w:r>
      <w:proofErr w:type="spellEnd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>yapmamak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kaydı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ile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>tanımlamaya</w:t>
      </w:r>
      <w:proofErr w:type="spellEnd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>yönelik</w:t>
      </w:r>
      <w:proofErr w:type="spellEnd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>olarak</w:t>
      </w:r>
      <w:proofErr w:type="spellEnd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>yapılan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kan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,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saç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,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tüy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,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tükürük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,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gaita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,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idrar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,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radyolojik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görüntü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,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biyokimya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,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mikrobiyoloji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,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patoloji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materyalleri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üzerinde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yapılacak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>araştırmalar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,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vücut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fizyolojisi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ile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ilgili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araştırmalar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,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hücre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ve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doku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kültürü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araştırmaları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,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antropometrik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ölçümlere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dayalı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yapılan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araştırmalar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,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anket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ve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benzeri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bilgi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toplama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araçları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ile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yapılan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araştırmalar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ve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yaşam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alışkanlıklarının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değerlendirilmesi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çalışmaları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>gibi</w:t>
      </w:r>
      <w:proofErr w:type="spellEnd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>insana</w:t>
      </w:r>
      <w:proofErr w:type="spellEnd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>doğrudan</w:t>
      </w:r>
      <w:proofErr w:type="spellEnd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>müdahale</w:t>
      </w:r>
      <w:proofErr w:type="spellEnd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>gerektirmeden</w:t>
      </w:r>
      <w:proofErr w:type="spellEnd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>yapılacak</w:t>
      </w:r>
      <w:proofErr w:type="spellEnd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>çalışmalar</w:t>
      </w:r>
      <w:proofErr w:type="spellEnd"/>
      <w:r w:rsidRPr="00610306">
        <w:rPr>
          <w:rFonts w:ascii="Arial" w:hAnsi="Arial" w:cs="Arial"/>
          <w:b/>
          <w:bCs/>
          <w:i/>
          <w:iCs/>
          <w:color w:val="1D2228"/>
          <w:spacing w:val="14"/>
          <w:sz w:val="20"/>
          <w:szCs w:val="20"/>
        </w:rPr>
        <w:t>;</w:t>
      </w:r>
    </w:p>
    <w:p w:rsidR="00610306" w:rsidRPr="00610306" w:rsidRDefault="00610306" w:rsidP="00610306">
      <w:pPr>
        <w:pStyle w:val="NormalWeb"/>
        <w:spacing w:before="0" w:beforeAutospacing="0" w:after="240" w:afterAutospacing="0" w:line="196" w:lineRule="atLeast"/>
        <w:ind w:left="1428"/>
        <w:jc w:val="both"/>
        <w:rPr>
          <w:rFonts w:ascii="Calibri" w:hAnsi="Calibri" w:cs="Calibri"/>
          <w:color w:val="1D2228"/>
          <w:sz w:val="20"/>
          <w:szCs w:val="20"/>
        </w:rPr>
      </w:pPr>
      <w:r w:rsidRPr="00610306">
        <w:rPr>
          <w:rFonts w:ascii="Symbol" w:hAnsi="Symbol" w:cs="Calibri"/>
          <w:color w:val="1D2228"/>
          <w:spacing w:val="14"/>
          <w:sz w:val="20"/>
          <w:szCs w:val="20"/>
        </w:rPr>
        <w:t></w:t>
      </w:r>
      <w:r w:rsidRPr="00610306">
        <w:rPr>
          <w:rFonts w:ascii="New" w:hAnsi="New" w:cs="Calibri"/>
          <w:color w:val="1D2228"/>
          <w:spacing w:val="14"/>
          <w:sz w:val="20"/>
          <w:szCs w:val="20"/>
        </w:rPr>
        <w:t>    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  <w:u w:val="single"/>
        </w:rPr>
        <w:t>Üniversitelerde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senato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kararı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ile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kurulan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  <w:u w:val="single"/>
        </w:rPr>
        <w:t>etik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  <w:u w:val="single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  <w:u w:val="single"/>
        </w:rPr>
        <w:t>kurullarca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,</w:t>
      </w:r>
    </w:p>
    <w:p w:rsidR="00610306" w:rsidRPr="00610306" w:rsidRDefault="00610306" w:rsidP="00610306">
      <w:pPr>
        <w:pStyle w:val="NormalWeb"/>
        <w:spacing w:before="0" w:beforeAutospacing="0" w:after="240" w:afterAutospacing="0" w:line="196" w:lineRule="atLeast"/>
        <w:ind w:left="1428"/>
        <w:rPr>
          <w:rFonts w:ascii="Calibri" w:hAnsi="Calibri" w:cs="Calibri"/>
          <w:color w:val="1D2228"/>
          <w:sz w:val="20"/>
          <w:szCs w:val="20"/>
        </w:rPr>
      </w:pPr>
      <w:r w:rsidRPr="00610306">
        <w:rPr>
          <w:rFonts w:ascii="Symbol" w:hAnsi="Symbol" w:cs="Calibri"/>
          <w:color w:val="1D2228"/>
          <w:spacing w:val="14"/>
          <w:sz w:val="20"/>
          <w:szCs w:val="20"/>
        </w:rPr>
        <w:t></w:t>
      </w:r>
      <w:r w:rsidRPr="00610306">
        <w:rPr>
          <w:rFonts w:ascii="New" w:hAnsi="New" w:cs="Calibri"/>
          <w:color w:val="1D2228"/>
          <w:spacing w:val="14"/>
          <w:sz w:val="20"/>
          <w:szCs w:val="20"/>
        </w:rPr>
        <w:t>    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  <w:u w:val="single"/>
        </w:rPr>
        <w:t>Kamu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  <w:u w:val="single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  <w:u w:val="single"/>
        </w:rPr>
        <w:t>hastaneleri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kurumlarında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genel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sekreterliğin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onayı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ile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kurulan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  <w:u w:val="single"/>
        </w:rPr>
        <w:t>etik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  <w:u w:val="single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  <w:u w:val="single"/>
        </w:rPr>
        <w:t>kurullarca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veya</w:t>
      </w:r>
      <w:proofErr w:type="spellEnd"/>
    </w:p>
    <w:p w:rsidR="00610306" w:rsidRPr="00610306" w:rsidRDefault="00610306" w:rsidP="00610306">
      <w:pPr>
        <w:pStyle w:val="NormalWeb"/>
        <w:spacing w:before="0" w:beforeAutospacing="0" w:after="240" w:afterAutospacing="0" w:line="196" w:lineRule="atLeast"/>
        <w:ind w:left="1428"/>
        <w:rPr>
          <w:rFonts w:ascii="Calibri" w:hAnsi="Calibri" w:cs="Calibri"/>
          <w:color w:val="1D2228"/>
          <w:sz w:val="20"/>
          <w:szCs w:val="20"/>
        </w:rPr>
      </w:pPr>
      <w:proofErr w:type="gramStart"/>
      <w:r w:rsidRPr="00610306">
        <w:rPr>
          <w:rFonts w:ascii="Symbol" w:hAnsi="Symbol" w:cs="Calibri"/>
          <w:color w:val="1D2228"/>
          <w:spacing w:val="14"/>
          <w:sz w:val="20"/>
          <w:szCs w:val="20"/>
        </w:rPr>
        <w:t></w:t>
      </w:r>
      <w:r w:rsidRPr="00610306">
        <w:rPr>
          <w:rFonts w:ascii="New" w:hAnsi="New" w:cs="Calibri"/>
          <w:color w:val="1D2228"/>
          <w:spacing w:val="14"/>
          <w:sz w:val="20"/>
          <w:szCs w:val="20"/>
        </w:rPr>
        <w:t>    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  <w:u w:val="single"/>
        </w:rPr>
        <w:t>Kurumca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onaylı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  <w:u w:val="single"/>
        </w:rPr>
        <w:t>Klinik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  <w:u w:val="single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  <w:u w:val="single"/>
        </w:rPr>
        <w:t>Araştırmalar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  <w:u w:val="single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  <w:u w:val="single"/>
        </w:rPr>
        <w:t>Etik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  <w:u w:val="single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  <w:u w:val="single"/>
        </w:rPr>
        <w:t>Kurulu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ya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da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konusuna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göre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  <w:u w:val="single"/>
        </w:rPr>
        <w:t>Kozmetik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  <w:u w:val="single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  <w:u w:val="single"/>
        </w:rPr>
        <w:t>Klinik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  <w:u w:val="single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  <w:u w:val="single"/>
        </w:rPr>
        <w:t>Araştırmalar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  <w:u w:val="single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  <w:u w:val="single"/>
        </w:rPr>
        <w:t>Etik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  <w:u w:val="single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  <w:u w:val="single"/>
        </w:rPr>
        <w:t>Kurulu</w:t>
      </w:r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nca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değerlendirilmektedir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.” 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denilmektedir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.</w:t>
      </w:r>
      <w:proofErr w:type="gramEnd"/>
    </w:p>
    <w:p w:rsidR="00610306" w:rsidRPr="00610306" w:rsidRDefault="00610306" w:rsidP="00610306">
      <w:pPr>
        <w:pStyle w:val="yiv5268009374msonormal"/>
        <w:spacing w:before="0" w:beforeAutospacing="0" w:after="240" w:afterAutospacing="0" w:line="196" w:lineRule="atLeast"/>
        <w:ind w:firstLine="708"/>
        <w:jc w:val="both"/>
        <w:rPr>
          <w:rFonts w:ascii="Calibri" w:hAnsi="Calibri" w:cs="Calibri"/>
          <w:color w:val="1D2228"/>
          <w:sz w:val="20"/>
          <w:szCs w:val="20"/>
        </w:rPr>
      </w:pPr>
      <w:proofErr w:type="gram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Bu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çerçevede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, Covid-19’da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Nörolojik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semptom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taramasına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yönelik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yapılacak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olan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çalışmaların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da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niteliği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itibariyle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“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İnsana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doğrudan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müdahale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gerektirmeyen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,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insan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ve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insana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ait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veri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kullanımına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ilişkin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”</w:t>
      </w:r>
      <w:r w:rsidRPr="00610306">
        <w:rPr>
          <w:rFonts w:ascii="Arial" w:hAnsi="Arial" w:cs="Arial"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bir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çalışma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olarak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etik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kurul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izin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belgesinin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alınmasının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yeterli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olduğu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düşünülmektedir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.</w:t>
      </w:r>
      <w:proofErr w:type="gramEnd"/>
    </w:p>
    <w:p w:rsidR="00610306" w:rsidRPr="00610306" w:rsidRDefault="00610306" w:rsidP="00610306">
      <w:pPr>
        <w:pStyle w:val="yiv5268009374msonormal"/>
        <w:spacing w:before="0" w:beforeAutospacing="0" w:after="160" w:afterAutospacing="0" w:line="196" w:lineRule="atLeast"/>
        <w:ind w:firstLine="708"/>
        <w:jc w:val="both"/>
        <w:rPr>
          <w:rFonts w:ascii="Calibri" w:hAnsi="Calibri" w:cs="Calibri"/>
          <w:color w:val="1D2228"/>
          <w:sz w:val="20"/>
          <w:szCs w:val="20"/>
        </w:rPr>
      </w:pPr>
      <w:r w:rsidRPr="00610306">
        <w:rPr>
          <w:rFonts w:ascii="Arial" w:hAnsi="Arial" w:cs="Arial"/>
          <w:b/>
          <w:bCs/>
          <w:color w:val="1D2228"/>
          <w:sz w:val="20"/>
          <w:szCs w:val="20"/>
        </w:rPr>
        <w:lastRenderedPageBreak/>
        <w:t>3</w:t>
      </w:r>
      <w:r w:rsidRPr="00610306">
        <w:rPr>
          <w:rFonts w:ascii="Arial" w:hAnsi="Arial" w:cs="Arial"/>
          <w:color w:val="1D2228"/>
          <w:sz w:val="20"/>
          <w:szCs w:val="20"/>
        </w:rPr>
        <w:t xml:space="preserve">. Data </w:t>
      </w:r>
      <w:proofErr w:type="spellStart"/>
      <w:r w:rsidRPr="00610306">
        <w:rPr>
          <w:rFonts w:ascii="Arial" w:hAnsi="Arial" w:cs="Arial"/>
          <w:color w:val="1D2228"/>
          <w:sz w:val="20"/>
          <w:szCs w:val="20"/>
        </w:rPr>
        <w:t>çalışması</w:t>
      </w:r>
      <w:proofErr w:type="spellEnd"/>
      <w:r w:rsidRPr="00610306">
        <w:rPr>
          <w:rFonts w:ascii="Arial" w:hAnsi="Arial" w:cs="Arial"/>
          <w:color w:val="1D2228"/>
          <w:sz w:val="20"/>
          <w:szCs w:val="20"/>
        </w:rPr>
        <w:t xml:space="preserve"> online </w:t>
      </w:r>
      <w:proofErr w:type="spellStart"/>
      <w:r w:rsidRPr="00610306">
        <w:rPr>
          <w:rFonts w:ascii="Arial" w:hAnsi="Arial" w:cs="Arial"/>
          <w:color w:val="1D2228"/>
          <w:sz w:val="20"/>
          <w:szCs w:val="20"/>
        </w:rPr>
        <w:t>olarak</w:t>
      </w:r>
      <w:proofErr w:type="spellEnd"/>
      <w:r w:rsidRPr="00610306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z w:val="20"/>
          <w:szCs w:val="20"/>
        </w:rPr>
        <w:t>düzenlenecek</w:t>
      </w:r>
      <w:proofErr w:type="spellEnd"/>
      <w:r w:rsidRPr="00610306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z w:val="20"/>
          <w:szCs w:val="20"/>
        </w:rPr>
        <w:t>ise</w:t>
      </w:r>
      <w:proofErr w:type="spellEnd"/>
      <w:r w:rsidRPr="00610306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z w:val="20"/>
          <w:szCs w:val="20"/>
        </w:rPr>
        <w:t>a</w:t>
      </w:r>
      <w:r w:rsidRPr="00610306">
        <w:rPr>
          <w:rFonts w:ascii="Arial" w:hAnsi="Arial" w:cs="Arial"/>
          <w:color w:val="1D2228"/>
          <w:spacing w:val="14"/>
          <w:sz w:val="20"/>
          <w:szCs w:val="20"/>
        </w:rPr>
        <w:t>raştırmaların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izin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başvurusunda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“</w:t>
      </w:r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Online Covid-19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Databankası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oluşturulacağına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”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ilişkin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bilgiye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yer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verilmesi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gerekmektedir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. </w:t>
      </w:r>
    </w:p>
    <w:p w:rsidR="00610306" w:rsidRPr="00610306" w:rsidRDefault="00610306" w:rsidP="00610306">
      <w:pPr>
        <w:pStyle w:val="yiv5268009374msonormal"/>
        <w:spacing w:before="0" w:beforeAutospacing="0" w:after="160" w:afterAutospacing="0" w:line="196" w:lineRule="atLeast"/>
        <w:ind w:firstLine="708"/>
        <w:jc w:val="both"/>
        <w:rPr>
          <w:rFonts w:ascii="Calibri" w:hAnsi="Calibri" w:cs="Calibri"/>
          <w:color w:val="1D2228"/>
          <w:sz w:val="20"/>
          <w:szCs w:val="20"/>
        </w:rPr>
      </w:pPr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4.</w:t>
      </w:r>
      <w:r w:rsidRPr="00610306">
        <w:rPr>
          <w:rFonts w:ascii="Arial" w:hAnsi="Arial" w:cs="Arial"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Ayrıca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,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kişisel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sağlık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verisi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işleyen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özel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hukuk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gerçek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ve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tüzel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kişileri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ile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kamu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hukuku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tüzel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kişilerinin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,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Sağlık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Bakanlığı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tarafından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yürütülmekte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olan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süreç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ve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uygulamalara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ilişkin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faaliyetleri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“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Kişisel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Sağlık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Verileri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Hakkında</w:t>
      </w:r>
      <w:proofErr w:type="spellEnd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i/>
          <w:iCs/>
          <w:color w:val="1D2228"/>
          <w:spacing w:val="14"/>
          <w:sz w:val="20"/>
          <w:szCs w:val="20"/>
        </w:rPr>
        <w:t>Yönetmelik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”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çerçevesinde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yürütülmekte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olup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,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bu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kapsamdaki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faaliyetlerin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nasıl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yürütüleceğine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ilişkin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usul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ve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esaslar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da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aynı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Yönetmelik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ile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düzenlenmiştir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. Buna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göre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,</w:t>
      </w:r>
    </w:p>
    <w:p w:rsidR="00610306" w:rsidRPr="00610306" w:rsidRDefault="00610306" w:rsidP="00610306">
      <w:pPr>
        <w:pStyle w:val="NormalWeb"/>
        <w:spacing w:before="0" w:beforeAutospacing="0" w:after="240" w:afterAutospacing="0" w:line="196" w:lineRule="atLeast"/>
        <w:ind w:left="1428"/>
        <w:jc w:val="both"/>
        <w:rPr>
          <w:rFonts w:ascii="Calibri" w:hAnsi="Calibri" w:cs="Calibri"/>
          <w:color w:val="1D2228"/>
          <w:sz w:val="20"/>
          <w:szCs w:val="20"/>
        </w:rPr>
      </w:pPr>
      <w:r w:rsidRPr="00610306">
        <w:rPr>
          <w:rFonts w:ascii="Symbol" w:hAnsi="Symbol" w:cs="Calibri"/>
          <w:color w:val="1D2228"/>
          <w:spacing w:val="14"/>
          <w:sz w:val="20"/>
          <w:szCs w:val="20"/>
        </w:rPr>
        <w:t></w:t>
      </w:r>
      <w:r w:rsidRPr="00610306">
        <w:rPr>
          <w:rFonts w:ascii="New" w:hAnsi="New" w:cs="Calibri"/>
          <w:color w:val="1D2228"/>
          <w:spacing w:val="14"/>
          <w:sz w:val="20"/>
          <w:szCs w:val="20"/>
        </w:rPr>
        <w:t>    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Çalışmada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elde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edilecek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sağlık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verilerinin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işlenmesi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,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saklanması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,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imhası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gibi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hususlarda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anılan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Yönetmelik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hükümlerinin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dikkate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alınması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,</w:t>
      </w:r>
    </w:p>
    <w:p w:rsidR="00610306" w:rsidRPr="00610306" w:rsidRDefault="00610306" w:rsidP="00610306">
      <w:pPr>
        <w:pStyle w:val="NormalWeb"/>
        <w:spacing w:before="0" w:beforeAutospacing="0" w:after="240" w:afterAutospacing="0" w:line="196" w:lineRule="atLeast"/>
        <w:ind w:left="1428"/>
        <w:jc w:val="both"/>
        <w:rPr>
          <w:rFonts w:ascii="Calibri" w:hAnsi="Calibri" w:cs="Calibri"/>
          <w:color w:val="1D2228"/>
          <w:sz w:val="20"/>
          <w:szCs w:val="20"/>
        </w:rPr>
      </w:pPr>
      <w:proofErr w:type="gramStart"/>
      <w:r w:rsidRPr="00610306">
        <w:rPr>
          <w:rFonts w:ascii="Symbol" w:hAnsi="Symbol" w:cs="Calibri"/>
          <w:color w:val="1D2228"/>
          <w:spacing w:val="14"/>
          <w:sz w:val="20"/>
          <w:szCs w:val="20"/>
        </w:rPr>
        <w:t></w:t>
      </w:r>
      <w:r w:rsidRPr="00610306">
        <w:rPr>
          <w:rFonts w:ascii="New" w:hAnsi="New" w:cs="Calibri"/>
          <w:color w:val="1D2228"/>
          <w:spacing w:val="14"/>
          <w:sz w:val="20"/>
          <w:szCs w:val="20"/>
        </w:rPr>
        <w:t>    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Elde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edilen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verilerle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kişilerin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eşleştirilmesini</w:t>
      </w:r>
      <w:proofErr w:type="spellEnd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engelleyerek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kişilerin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mahremiyetini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sağlamaya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yönelik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,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Yönetmelikte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bahsi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geçen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anonimleştirme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, 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kimliksizleştirme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, </w:t>
      </w:r>
      <w:proofErr w:type="spellStart"/>
      <w:r w:rsidRPr="00610306">
        <w:rPr>
          <w:rFonts w:ascii="Arial" w:hAnsi="Arial" w:cs="Arial"/>
          <w:b/>
          <w:bCs/>
          <w:color w:val="1D2228"/>
          <w:spacing w:val="14"/>
          <w:sz w:val="20"/>
          <w:szCs w:val="20"/>
        </w:rPr>
        <w:t>maskeleme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 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gibi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yöntemlerin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kullanılmasının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uygun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olacağı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değerlendirilmektedir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.</w:t>
      </w:r>
      <w:proofErr w:type="gramEnd"/>
    </w:p>
    <w:p w:rsidR="00610306" w:rsidRPr="00610306" w:rsidRDefault="00610306" w:rsidP="00610306">
      <w:pPr>
        <w:pStyle w:val="NormalWeb"/>
        <w:spacing w:before="0" w:beforeAutospacing="0" w:after="240" w:afterAutospacing="0" w:line="196" w:lineRule="atLeast"/>
        <w:ind w:left="1428"/>
        <w:jc w:val="both"/>
        <w:rPr>
          <w:rFonts w:ascii="Calibri" w:hAnsi="Calibri" w:cs="Calibri"/>
          <w:color w:val="1D2228"/>
          <w:sz w:val="20"/>
          <w:szCs w:val="20"/>
        </w:rPr>
      </w:pP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Saygılarımızla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,</w:t>
      </w:r>
    </w:p>
    <w:p w:rsidR="00610306" w:rsidRPr="00610306" w:rsidRDefault="00610306" w:rsidP="00610306">
      <w:pPr>
        <w:pStyle w:val="NormalWeb"/>
        <w:spacing w:before="0" w:beforeAutospacing="0" w:after="240" w:afterAutospacing="0" w:line="196" w:lineRule="atLeast"/>
        <w:ind w:left="1428"/>
        <w:jc w:val="both"/>
        <w:rPr>
          <w:rFonts w:ascii="Calibri" w:hAnsi="Calibri" w:cs="Calibri"/>
          <w:color w:val="1D2228"/>
          <w:sz w:val="20"/>
          <w:szCs w:val="20"/>
        </w:rPr>
      </w:pP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Türk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Nöroloji</w:t>
      </w:r>
      <w:proofErr w:type="spellEnd"/>
      <w:r w:rsidRPr="00610306">
        <w:rPr>
          <w:rFonts w:ascii="Arial" w:hAnsi="Arial" w:cs="Arial"/>
          <w:color w:val="1D2228"/>
          <w:spacing w:val="14"/>
          <w:sz w:val="20"/>
          <w:szCs w:val="20"/>
        </w:rPr>
        <w:t xml:space="preserve"> </w:t>
      </w:r>
      <w:proofErr w:type="spellStart"/>
      <w:r w:rsidRPr="00610306">
        <w:rPr>
          <w:rFonts w:ascii="Arial" w:hAnsi="Arial" w:cs="Arial"/>
          <w:color w:val="1D2228"/>
          <w:spacing w:val="14"/>
          <w:sz w:val="20"/>
          <w:szCs w:val="20"/>
        </w:rPr>
        <w:t>Derneği</w:t>
      </w:r>
      <w:proofErr w:type="spellEnd"/>
    </w:p>
    <w:p w:rsidR="00B336CE" w:rsidRPr="00610306" w:rsidRDefault="00B336CE" w:rsidP="00610306">
      <w:pPr>
        <w:jc w:val="both"/>
        <w:rPr>
          <w:sz w:val="20"/>
          <w:szCs w:val="20"/>
        </w:rPr>
      </w:pPr>
    </w:p>
    <w:sectPr w:rsidR="00B336CE" w:rsidRPr="00610306" w:rsidSect="00B3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10306"/>
    <w:rsid w:val="001672F4"/>
    <w:rsid w:val="001A577A"/>
    <w:rsid w:val="00286317"/>
    <w:rsid w:val="002E4D2D"/>
    <w:rsid w:val="00376929"/>
    <w:rsid w:val="005368BE"/>
    <w:rsid w:val="005A3BFE"/>
    <w:rsid w:val="00610306"/>
    <w:rsid w:val="006654A8"/>
    <w:rsid w:val="007A7BBC"/>
    <w:rsid w:val="00847872"/>
    <w:rsid w:val="00A8699E"/>
    <w:rsid w:val="00AE7797"/>
    <w:rsid w:val="00B336CE"/>
    <w:rsid w:val="00D41083"/>
    <w:rsid w:val="00FD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268009374msonormal">
    <w:name w:val="yiv5268009374msonormal"/>
    <w:basedOn w:val="Normal"/>
    <w:rsid w:val="0061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3261</Characters>
  <Application>Microsoft Office Word</Application>
  <DocSecurity>0</DocSecurity>
  <Lines>27</Lines>
  <Paragraphs>7</Paragraphs>
  <ScaleCrop>false</ScaleCrop>
  <Company>Toshiba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DESTAN</dc:creator>
  <cp:lastModifiedBy>DESTAN</cp:lastModifiedBy>
  <cp:revision>1</cp:revision>
  <dcterms:created xsi:type="dcterms:W3CDTF">2020-04-16T14:31:00Z</dcterms:created>
  <dcterms:modified xsi:type="dcterms:W3CDTF">2020-04-16T14:40:00Z</dcterms:modified>
</cp:coreProperties>
</file>